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val="0"/>
          <w:color w:val="333333"/>
          <w:sz w:val="44"/>
          <w:szCs w:val="44"/>
          <w:shd w:val="clear" w:color="auto" w:fill="FFFFFF"/>
        </w:rPr>
      </w:pPr>
      <w:r>
        <w:rPr>
          <w:rFonts w:hint="eastAsia" w:ascii="方正小标宋简体" w:hAnsi="方正小标宋简体" w:eastAsia="方正小标宋简体" w:cs="方正小标宋简体"/>
          <w:b w:val="0"/>
          <w:bCs w:val="0"/>
          <w:color w:val="333333"/>
          <w:sz w:val="44"/>
          <w:szCs w:val="44"/>
          <w:shd w:val="clear" w:color="auto" w:fill="FFFFFF"/>
        </w:rPr>
        <w:t>常州市市场监督管理局信用修复服务指南</w:t>
      </w:r>
    </w:p>
    <w:p>
      <w:pPr>
        <w:jc w:val="center"/>
        <w:rPr>
          <w:rFonts w:hint="eastAsia" w:ascii="楷体_GB2312" w:hAnsi="楷体_GB2312" w:eastAsia="楷体_GB2312" w:cs="楷体_GB2312"/>
          <w:b w:val="0"/>
          <w:bCs w:val="0"/>
          <w:color w:val="333333"/>
          <w:sz w:val="36"/>
          <w:szCs w:val="36"/>
          <w:shd w:val="clear" w:color="auto" w:fill="FFFFFF"/>
        </w:rPr>
      </w:pPr>
      <w:r>
        <w:rPr>
          <w:rFonts w:hint="eastAsia" w:ascii="楷体_GB2312" w:hAnsi="楷体_GB2312" w:eastAsia="楷体_GB2312" w:cs="楷体_GB2312"/>
          <w:b w:val="0"/>
          <w:bCs w:val="0"/>
          <w:color w:val="333333"/>
          <w:sz w:val="36"/>
          <w:szCs w:val="36"/>
          <w:shd w:val="clear" w:color="auto" w:fill="FFFFFF"/>
        </w:rPr>
        <w:t>（第三版）</w:t>
      </w:r>
    </w:p>
    <w:p>
      <w:pPr>
        <w:pStyle w:val="7"/>
        <w:shd w:val="clear" w:color="auto" w:fill="FFFFFF"/>
        <w:spacing w:before="0" w:beforeAutospacing="0" w:after="0" w:afterAutospacing="0" w:line="360" w:lineRule="auto"/>
        <w:ind w:firstLine="560" w:firstLineChars="200"/>
        <w:rPr>
          <w:rFonts w:hint="eastAsia" w:ascii="微软雅黑" w:hAnsi="微软雅黑" w:eastAsia="微软雅黑"/>
          <w:color w:val="00B050"/>
          <w:sz w:val="28"/>
          <w:szCs w:val="28"/>
        </w:rPr>
      </w:pPr>
    </w:p>
    <w:p>
      <w:pPr>
        <w:pStyle w:val="7"/>
        <w:shd w:val="clear" w:color="auto" w:fill="FFFFFF"/>
        <w:spacing w:before="0" w:beforeAutospacing="0" w:after="0" w:afterAutospacing="0" w:line="360" w:lineRule="auto"/>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根据《市场监督管理信用修复管理办法》（国家市场监督管理总局令第107号）有关规定，现制定信用修复工作指南如下：</w:t>
      </w:r>
    </w:p>
    <w:p>
      <w:pPr>
        <w:pStyle w:val="7"/>
        <w:shd w:val="clear" w:color="auto" w:fill="FFFFFF"/>
        <w:spacing w:before="0" w:beforeAutospacing="0" w:after="0" w:afterAutospacing="0" w:line="360" w:lineRule="auto"/>
        <w:ind w:firstLine="560" w:firstLineChars="200"/>
        <w:jc w:val="both"/>
        <w:rPr>
          <w:rFonts w:hint="eastAsia" w:ascii="黑体" w:hAnsi="黑体" w:eastAsia="黑体" w:cs="黑体"/>
          <w:b w:val="0"/>
          <w:bCs/>
          <w:color w:val="333333"/>
          <w:sz w:val="28"/>
          <w:szCs w:val="28"/>
        </w:rPr>
      </w:pPr>
      <w:r>
        <w:rPr>
          <w:rFonts w:hint="eastAsia" w:ascii="黑体" w:hAnsi="黑体" w:eastAsia="黑体" w:cs="黑体"/>
          <w:b w:val="0"/>
          <w:bCs/>
          <w:color w:val="333333"/>
          <w:sz w:val="28"/>
          <w:szCs w:val="28"/>
        </w:rPr>
        <w:t>一、修复定义</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信用修复是指对国家企业信用信息公示系统依法公示的违法失信信息，在当事人履行相关义务、纠正失信行为，改善自身信用状况后提出申请，或者在公示期届满时，由市场监督管理部门停止公示相关信息，将当事人移出经营异常名录、市场监督管理严重违法失信名单。</w:t>
      </w:r>
    </w:p>
    <w:p>
      <w:pPr>
        <w:keepNext w:val="0"/>
        <w:keepLines w:val="0"/>
        <w:widowControl/>
        <w:suppressLineNumbers w:val="0"/>
        <w:ind w:firstLine="620" w:firstLineChars="200"/>
        <w:jc w:val="both"/>
      </w:pPr>
      <w:r>
        <w:rPr>
          <w:rFonts w:ascii="仿宋_GB2312" w:hAnsi="宋体" w:eastAsia="仿宋_GB2312" w:cs="仿宋_GB2312"/>
          <w:color w:val="000000"/>
          <w:kern w:val="0"/>
          <w:sz w:val="31"/>
          <w:szCs w:val="31"/>
          <w:lang w:val="en-US" w:eastAsia="zh-CN" w:bidi="ar"/>
        </w:rPr>
        <w:t>违法失信信息是指在国家企业信用信息公示系</w:t>
      </w:r>
      <w:r>
        <w:rPr>
          <w:rFonts w:hint="eastAsia" w:ascii="仿宋_GB2312" w:hAnsi="宋体" w:eastAsia="仿宋_GB2312" w:cs="仿宋_GB2312"/>
          <w:color w:val="000000"/>
          <w:kern w:val="0"/>
          <w:sz w:val="31"/>
          <w:szCs w:val="31"/>
          <w:lang w:val="en-US" w:eastAsia="zh-CN" w:bidi="ar"/>
        </w:rPr>
        <w:t>统依法公示的市场监督管理领域行政处罚、列入经营异常名录、列入市场监督管理严重违法失信名单等信息。</w:t>
      </w:r>
    </w:p>
    <w:p>
      <w:pPr>
        <w:pStyle w:val="7"/>
        <w:shd w:val="clear" w:color="auto" w:fill="FFFFFF"/>
        <w:spacing w:before="0" w:beforeAutospacing="0" w:after="0" w:afterAutospacing="0" w:line="360" w:lineRule="auto"/>
        <w:ind w:firstLine="560" w:firstLineChars="200"/>
        <w:jc w:val="both"/>
        <w:rPr>
          <w:rFonts w:hint="eastAsia" w:ascii="黑体" w:hAnsi="黑体" w:eastAsia="黑体" w:cs="黑体"/>
          <w:b w:val="0"/>
          <w:bCs/>
          <w:color w:val="333333"/>
          <w:sz w:val="28"/>
          <w:szCs w:val="28"/>
        </w:rPr>
      </w:pPr>
      <w:r>
        <w:rPr>
          <w:rFonts w:hint="eastAsia" w:ascii="黑体" w:hAnsi="黑体" w:eastAsia="黑体" w:cs="黑体"/>
          <w:b w:val="0"/>
          <w:bCs/>
          <w:color w:val="333333"/>
          <w:sz w:val="28"/>
          <w:szCs w:val="28"/>
        </w:rPr>
        <w:t>二、修复对象</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信用修复对象包括在国家企业信用信息公示系统依法公示的受到市场监督管理领域行政处罚、列入经营异常名录、列入市场监督管理严重违法失信名单的当事人。</w:t>
      </w:r>
    </w:p>
    <w:p>
      <w:pPr>
        <w:pStyle w:val="7"/>
        <w:shd w:val="clear" w:color="auto" w:fill="FFFFFF"/>
        <w:spacing w:before="0" w:beforeAutospacing="0" w:after="0" w:afterAutospacing="0" w:line="360" w:lineRule="auto"/>
        <w:ind w:firstLine="560" w:firstLineChars="200"/>
        <w:jc w:val="both"/>
        <w:rPr>
          <w:rFonts w:hint="eastAsia" w:ascii="黑体" w:hAnsi="黑体" w:eastAsia="黑体" w:cs="黑体"/>
          <w:b w:val="0"/>
          <w:bCs/>
          <w:color w:val="333333"/>
          <w:sz w:val="28"/>
          <w:szCs w:val="28"/>
        </w:rPr>
      </w:pPr>
      <w:r>
        <w:rPr>
          <w:rFonts w:hint="eastAsia" w:ascii="黑体" w:hAnsi="黑体" w:eastAsia="黑体" w:cs="黑体"/>
          <w:b w:val="0"/>
          <w:bCs/>
          <w:color w:val="333333"/>
          <w:sz w:val="28"/>
          <w:szCs w:val="28"/>
        </w:rPr>
        <w:t>三、修复条件</w:t>
      </w:r>
    </w:p>
    <w:p>
      <w:pPr>
        <w:keepNext w:val="0"/>
        <w:keepLines w:val="0"/>
        <w:widowControl/>
        <w:suppressLineNumbers w:val="0"/>
        <w:ind w:firstLine="620" w:firstLineChars="200"/>
        <w:jc w:val="both"/>
        <w:rPr>
          <w:rFonts w:hint="eastAsia" w:ascii="方正楷体_GBK" w:hAnsi="方正楷体_GBK" w:eastAsia="方正楷体_GBK" w:cs="方正楷体_GBK"/>
          <w:b w:val="0"/>
          <w:bCs w:val="0"/>
          <w:color w:val="000000"/>
          <w:kern w:val="0"/>
          <w:sz w:val="31"/>
          <w:szCs w:val="31"/>
          <w:lang w:val="en-US" w:eastAsia="zh-CN" w:bidi="ar"/>
        </w:rPr>
      </w:pPr>
      <w:r>
        <w:rPr>
          <w:rFonts w:hint="eastAsia" w:ascii="方正楷体_GBK" w:hAnsi="方正楷体_GBK" w:eastAsia="方正楷体_GBK" w:cs="方正楷体_GBK"/>
          <w:b w:val="0"/>
          <w:bCs w:val="0"/>
          <w:color w:val="000000"/>
          <w:kern w:val="0"/>
          <w:sz w:val="31"/>
          <w:szCs w:val="31"/>
          <w:lang w:val="en-US" w:eastAsia="zh-CN" w:bidi="ar"/>
        </w:rPr>
        <w:t>（一）被列入经营异常名录的修复条件</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当事人符合下列情形之一的，可以向</w:t>
      </w:r>
      <w:r>
        <w:rPr>
          <w:rFonts w:hint="eastAsia" w:ascii="仿宋_GB2312" w:hAnsi="仿宋" w:eastAsia="仿宋_GB2312" w:cs="宋体"/>
          <w:color w:val="FF0000"/>
          <w:kern w:val="2"/>
          <w:sz w:val="32"/>
          <w:szCs w:val="32"/>
          <w:lang w:val="en-US" w:eastAsia="zh-CN" w:bidi="ar-SA"/>
        </w:rPr>
        <w:t>登记地市场监督管理部门</w:t>
      </w:r>
      <w:r>
        <w:rPr>
          <w:rFonts w:hint="eastAsia" w:ascii="仿宋_GB2312" w:hAnsi="仿宋" w:eastAsia="仿宋_GB2312" w:cs="宋体"/>
          <w:kern w:val="2"/>
          <w:sz w:val="32"/>
          <w:szCs w:val="32"/>
          <w:lang w:val="en-US" w:eastAsia="zh-CN" w:bidi="ar-SA"/>
        </w:rPr>
        <w:t>申请移出：</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1.因未按规定期限报送、公示年度报告被列入经营异常名录，已经补报、公示未报年份的年度报告；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2.因未按照市场监督管理部门责令的期限公示有关企业信息被列入经营异常名录，已经履行信息公示义务；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3.因未依法办理企业名称变更登记被列入经营异常名录，已经依法完成企业名称变更登记；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4.因通过登记的住所（经营场所、经营者住所）无法取得联系被列入经营异常名录，已经依法完成住所（经营场所、经营者住所）变更登记，或者提出通过登记的住所（经营场所、经营者住所）可以重新取得联系； </w:t>
      </w:r>
    </w:p>
    <w:p>
      <w:pPr>
        <w:keepNext w:val="0"/>
        <w:keepLines w:val="0"/>
        <w:widowControl/>
        <w:suppressLineNumbers w:val="0"/>
        <w:ind w:firstLine="640" w:firstLineChars="200"/>
        <w:jc w:val="both"/>
        <w:rPr>
          <w:rFonts w:hint="default"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5.因其他违法行为被列入经营异常名录且已改正该违法行为.</w:t>
      </w:r>
    </w:p>
    <w:p>
      <w:pPr>
        <w:keepNext w:val="0"/>
        <w:keepLines w:val="0"/>
        <w:widowControl/>
        <w:suppressLineNumbers w:val="0"/>
        <w:ind w:firstLine="620" w:firstLineChars="200"/>
        <w:jc w:val="both"/>
        <w:rPr>
          <w:rFonts w:hint="eastAsia" w:ascii="方正楷体_GBK" w:hAnsi="方正楷体_GBK" w:eastAsia="方正楷体_GBK" w:cs="方正楷体_GBK"/>
          <w:b w:val="0"/>
          <w:bCs w:val="0"/>
          <w:color w:val="000000"/>
          <w:kern w:val="0"/>
          <w:sz w:val="31"/>
          <w:szCs w:val="31"/>
          <w:lang w:val="en-US" w:eastAsia="zh-CN" w:bidi="ar"/>
        </w:rPr>
      </w:pPr>
      <w:r>
        <w:rPr>
          <w:rFonts w:hint="eastAsia" w:ascii="方正楷体_GBK" w:hAnsi="方正楷体_GBK" w:eastAsia="方正楷体_GBK" w:cs="方正楷体_GBK"/>
          <w:b w:val="0"/>
          <w:bCs w:val="0"/>
          <w:color w:val="000000"/>
          <w:kern w:val="0"/>
          <w:sz w:val="31"/>
          <w:szCs w:val="31"/>
          <w:lang w:val="en-US" w:eastAsia="zh-CN" w:bidi="ar"/>
        </w:rPr>
        <w:t>（二）被列入严重违法失信名单的修复条件</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当事人符合下列条件的，可以在公示期满一年后，按照本办法规定向</w:t>
      </w:r>
      <w:r>
        <w:rPr>
          <w:rFonts w:hint="eastAsia" w:ascii="仿宋_GB2312" w:hAnsi="仿宋" w:eastAsia="仿宋_GB2312" w:cs="宋体"/>
          <w:color w:val="FF0000"/>
          <w:kern w:val="2"/>
          <w:sz w:val="32"/>
          <w:szCs w:val="32"/>
          <w:lang w:val="en-US" w:eastAsia="zh-CN" w:bidi="ar-SA"/>
        </w:rPr>
        <w:t>作出列入决定的市场监督管理部门</w:t>
      </w:r>
      <w:r>
        <w:rPr>
          <w:rFonts w:hint="eastAsia" w:ascii="仿宋_GB2312" w:hAnsi="仿宋" w:eastAsia="仿宋_GB2312" w:cs="宋体"/>
          <w:kern w:val="2"/>
          <w:sz w:val="32"/>
          <w:szCs w:val="32"/>
          <w:lang w:val="en-US" w:eastAsia="zh-CN" w:bidi="ar-SA"/>
        </w:rPr>
        <w:t>申请移出：</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1.已经自觉履行行政处罚、行政裁决等行政决定中规定的义务；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2.已经主动采取相关整改措施，消除危害后果和不良影响；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3.未因同一类违法行为再次受到市场监督管理部门行政处罚。</w:t>
      </w:r>
    </w:p>
    <w:p>
      <w:pPr>
        <w:pStyle w:val="7"/>
        <w:shd w:val="clear" w:color="auto" w:fill="FFFFFF"/>
        <w:spacing w:before="0" w:beforeAutospacing="0" w:after="0" w:afterAutospacing="0" w:line="360" w:lineRule="auto"/>
        <w:ind w:firstLine="620" w:firstLineChars="200"/>
        <w:jc w:val="both"/>
        <w:rPr>
          <w:rFonts w:hint="eastAsia" w:ascii="方正楷体_GBK" w:hAnsi="方正楷体_GBK" w:eastAsia="方正楷体_GBK" w:cs="方正楷体_GBK"/>
          <w:b w:val="0"/>
          <w:bCs w:val="0"/>
          <w:color w:val="000000"/>
          <w:kern w:val="0"/>
          <w:sz w:val="31"/>
          <w:szCs w:val="31"/>
          <w:lang w:val="en-US" w:eastAsia="zh-CN" w:bidi="ar"/>
        </w:rPr>
      </w:pPr>
      <w:r>
        <w:rPr>
          <w:rFonts w:hint="eastAsia" w:ascii="方正楷体_GBK" w:hAnsi="方正楷体_GBK" w:eastAsia="方正楷体_GBK" w:cs="方正楷体_GBK"/>
          <w:b w:val="0"/>
          <w:bCs w:val="0"/>
          <w:color w:val="000000"/>
          <w:kern w:val="0"/>
          <w:sz w:val="31"/>
          <w:szCs w:val="31"/>
          <w:lang w:val="en-US" w:eastAsia="zh-CN" w:bidi="ar"/>
        </w:rPr>
        <w:t>（三）行政处罚公示信息的修复条件</w:t>
      </w:r>
    </w:p>
    <w:p>
      <w:pPr>
        <w:keepNext w:val="0"/>
        <w:keepLines w:val="0"/>
        <w:widowControl/>
        <w:suppressLineNumbers w:val="0"/>
        <w:ind w:firstLine="640" w:firstLineChars="200"/>
        <w:jc w:val="left"/>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1.符合下列轻微违法失信情形的行政处罚信息，</w:t>
      </w:r>
      <w:r>
        <w:rPr>
          <w:rFonts w:ascii="仿宋_GB2312" w:hAnsi="宋体" w:eastAsia="仿宋_GB2312" w:cs="仿宋_GB2312"/>
          <w:color w:val="000000"/>
          <w:kern w:val="0"/>
          <w:sz w:val="31"/>
          <w:szCs w:val="31"/>
          <w:lang w:val="en-US" w:eastAsia="zh-CN" w:bidi="ar"/>
        </w:rPr>
        <w:t>仅受到警告的行政处罚信息不予公示</w:t>
      </w:r>
      <w:r>
        <w:rPr>
          <w:rFonts w:hint="eastAsia" w:ascii="仿宋_GB2312" w:hAnsi="宋体" w:eastAsia="仿宋_GB2312" w:cs="仿宋_GB2312"/>
          <w:color w:val="000000"/>
          <w:kern w:val="0"/>
          <w:sz w:val="31"/>
          <w:szCs w:val="31"/>
          <w:lang w:val="en-US" w:eastAsia="zh-CN" w:bidi="ar"/>
        </w:rPr>
        <w:t>，符合其他情形的</w:t>
      </w:r>
      <w:r>
        <w:rPr>
          <w:rFonts w:hint="eastAsia" w:ascii="仿宋_GB2312" w:hAnsi="仿宋" w:eastAsia="仿宋_GB2312" w:cs="宋体"/>
          <w:kern w:val="2"/>
          <w:sz w:val="32"/>
          <w:szCs w:val="32"/>
          <w:lang w:val="en-US" w:eastAsia="zh-CN" w:bidi="ar-SA"/>
        </w:rPr>
        <w:t xml:space="preserve">公示期满三个月的，由市场监督管理部门停止公示： </w:t>
      </w:r>
    </w:p>
    <w:p>
      <w:pPr>
        <w:keepNext w:val="0"/>
        <w:keepLines w:val="0"/>
        <w:widowControl/>
        <w:suppressLineNumbers w:val="0"/>
        <w:ind w:firstLine="640" w:firstLineChars="200"/>
        <w:jc w:val="left"/>
      </w:pPr>
      <w:r>
        <w:rPr>
          <w:rFonts w:hint="eastAsia" w:ascii="仿宋_GB2312" w:hAnsi="仿宋" w:eastAsia="仿宋_GB2312" w:cs="宋体"/>
          <w:kern w:val="2"/>
          <w:sz w:val="32"/>
          <w:szCs w:val="32"/>
          <w:lang w:val="en-US" w:eastAsia="zh-CN" w:bidi="ar-SA"/>
        </w:rPr>
        <w:t>（1）</w:t>
      </w:r>
      <w:r>
        <w:rPr>
          <w:rFonts w:ascii="仿宋_GB2312" w:hAnsi="宋体" w:eastAsia="仿宋_GB2312" w:cs="仿宋_GB2312"/>
          <w:color w:val="000000"/>
          <w:kern w:val="0"/>
          <w:sz w:val="31"/>
          <w:szCs w:val="31"/>
          <w:lang w:val="en-US" w:eastAsia="zh-CN" w:bidi="ar"/>
        </w:rPr>
        <w:t>仅受到警告的行政处罚信息；</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（2）仅受到通报批评的行政处罚信息；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（3）仅受到较低数额罚款的行政处罚信息。 </w:t>
      </w:r>
    </w:p>
    <w:p>
      <w:pPr>
        <w:keepNext w:val="0"/>
        <w:keepLines w:val="0"/>
        <w:widowControl/>
        <w:suppressLineNumbers w:val="0"/>
        <w:ind w:firstLine="640" w:firstLineChars="200"/>
        <w:jc w:val="left"/>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2.符合下列严重违法失信情形之一的行政处罚信息，公示期满一年后，可以向</w:t>
      </w:r>
      <w:r>
        <w:rPr>
          <w:rFonts w:hint="eastAsia" w:ascii="仿宋_GB2312" w:hAnsi="仿宋" w:eastAsia="仿宋_GB2312" w:cs="宋体"/>
          <w:color w:val="FF0000"/>
          <w:kern w:val="2"/>
          <w:sz w:val="32"/>
          <w:szCs w:val="32"/>
          <w:lang w:val="en-US" w:eastAsia="zh-CN" w:bidi="ar-SA"/>
        </w:rPr>
        <w:t>作出行政处罚决定的市场监督管理部门</w:t>
      </w:r>
      <w:r>
        <w:rPr>
          <w:rFonts w:hint="eastAsia" w:ascii="仿宋_GB2312" w:hAnsi="仿宋" w:eastAsia="仿宋_GB2312" w:cs="宋体"/>
          <w:kern w:val="2"/>
          <w:sz w:val="32"/>
          <w:szCs w:val="32"/>
          <w:lang w:val="en-US" w:eastAsia="zh-CN" w:bidi="ar-SA"/>
        </w:rPr>
        <w:t>申请停止公示，公示期满三年（</w:t>
      </w:r>
      <w:r>
        <w:rPr>
          <w:rFonts w:ascii="仿宋_GB2312" w:hAnsi="宋体" w:eastAsia="仿宋_GB2312" w:cs="仿宋_GB2312"/>
          <w:color w:val="000000"/>
          <w:kern w:val="0"/>
          <w:sz w:val="31"/>
          <w:szCs w:val="31"/>
          <w:lang w:val="en-US" w:eastAsia="zh-CN" w:bidi="ar"/>
        </w:rPr>
        <w:t>且行政处罚限制期限届满</w:t>
      </w:r>
      <w:r>
        <w:rPr>
          <w:rFonts w:hint="eastAsia" w:ascii="仿宋_GB2312" w:hAnsi="宋体" w:eastAsia="仿宋_GB2312" w:cs="仿宋_GB2312"/>
          <w:color w:val="000000"/>
          <w:kern w:val="0"/>
          <w:sz w:val="31"/>
          <w:szCs w:val="31"/>
          <w:lang w:val="en-US" w:eastAsia="zh-CN" w:bidi="ar"/>
        </w:rPr>
        <w:t>）</w:t>
      </w:r>
      <w:r>
        <w:rPr>
          <w:rFonts w:hint="eastAsia" w:ascii="仿宋_GB2312" w:hAnsi="仿宋" w:eastAsia="仿宋_GB2312" w:cs="宋体"/>
          <w:kern w:val="2"/>
          <w:sz w:val="32"/>
          <w:szCs w:val="32"/>
          <w:lang w:val="en-US" w:eastAsia="zh-CN" w:bidi="ar-SA"/>
        </w:rPr>
        <w:t>的，由市场监督管理部门停止公示：</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（1）食品、药品、医疗器械、化妆品、特种设备、重点工业产品领域除本办法第七条规定的轻微违法失信信息外的行政处罚信息；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（2）限制开展生产经营活动、责令停产停业、限制从业的行政处罚信息。</w:t>
      </w:r>
    </w:p>
    <w:p>
      <w:pPr>
        <w:keepNext w:val="0"/>
        <w:keepLines w:val="0"/>
        <w:widowControl/>
        <w:suppressLineNumbers w:val="0"/>
        <w:ind w:firstLine="640" w:firstLineChars="200"/>
        <w:jc w:val="left"/>
      </w:pPr>
      <w:r>
        <w:rPr>
          <w:rFonts w:hint="eastAsia" w:ascii="仿宋_GB2312" w:hAnsi="仿宋" w:eastAsia="仿宋_GB2312" w:cs="宋体"/>
          <w:kern w:val="2"/>
          <w:sz w:val="32"/>
          <w:szCs w:val="32"/>
          <w:lang w:val="en-US" w:eastAsia="zh-CN" w:bidi="ar-SA"/>
        </w:rPr>
        <w:t>3.符合“</w:t>
      </w:r>
      <w:r>
        <w:rPr>
          <w:rFonts w:ascii="仿宋_GB2312" w:hAnsi="宋体" w:eastAsia="仿宋_GB2312" w:cs="仿宋_GB2312"/>
          <w:color w:val="000000"/>
          <w:kern w:val="0"/>
          <w:sz w:val="31"/>
          <w:szCs w:val="31"/>
          <w:lang w:val="en-US" w:eastAsia="zh-CN" w:bidi="ar"/>
        </w:rPr>
        <w:t>降低资质等级、吊销许可证件、吊销营业执照、责令</w:t>
      </w:r>
      <w:r>
        <w:rPr>
          <w:rFonts w:hint="eastAsia" w:ascii="仿宋_GB2312" w:hAnsi="宋体" w:eastAsia="仿宋_GB2312" w:cs="仿宋_GB2312"/>
          <w:color w:val="000000"/>
          <w:kern w:val="0"/>
          <w:sz w:val="31"/>
          <w:szCs w:val="31"/>
          <w:lang w:val="en-US" w:eastAsia="zh-CN" w:bidi="ar"/>
        </w:rPr>
        <w:t>关闭”的行政处罚信息，</w:t>
      </w:r>
      <w:r>
        <w:rPr>
          <w:rFonts w:ascii="仿宋_GB2312" w:hAnsi="宋体" w:eastAsia="仿宋_GB2312" w:cs="仿宋_GB2312"/>
          <w:color w:val="000000"/>
          <w:kern w:val="0"/>
          <w:sz w:val="31"/>
          <w:szCs w:val="31"/>
          <w:lang w:val="en-US" w:eastAsia="zh-CN" w:bidi="ar"/>
        </w:rPr>
        <w:t>公示期满三年</w:t>
      </w:r>
      <w:r>
        <w:rPr>
          <w:rFonts w:hint="eastAsia" w:ascii="仿宋_GB2312" w:hAnsi="宋体" w:eastAsia="仿宋_GB2312" w:cs="仿宋_GB2312"/>
          <w:color w:val="000000"/>
          <w:kern w:val="0"/>
          <w:sz w:val="31"/>
          <w:szCs w:val="31"/>
          <w:lang w:val="en-US" w:eastAsia="zh-CN" w:bidi="ar"/>
        </w:rPr>
        <w:t>的，由市场监督管理部门停止公示。</w:t>
      </w:r>
    </w:p>
    <w:p>
      <w:pPr>
        <w:keepNext w:val="0"/>
        <w:keepLines w:val="0"/>
        <w:widowControl/>
        <w:suppressLineNumbers w:val="0"/>
        <w:ind w:firstLine="638" w:firstLineChars="200"/>
        <w:jc w:val="both"/>
        <w:rPr>
          <w:rFonts w:hint="eastAsia" w:ascii="仿宋_GB2312" w:hAnsi="仿宋" w:eastAsia="仿宋_GB2312" w:cs="宋体"/>
          <w:kern w:val="2"/>
          <w:sz w:val="32"/>
          <w:szCs w:val="32"/>
          <w:lang w:val="en-US" w:eastAsia="zh-CN" w:bidi="ar-SA"/>
        </w:rPr>
      </w:pPr>
      <w:r>
        <w:rPr>
          <w:rFonts w:hint="eastAsia" w:ascii="仿宋_GB2312" w:hAnsi="宋体" w:eastAsia="仿宋_GB2312" w:cs="仿宋_GB2312"/>
          <w:color w:val="000000"/>
          <w:kern w:val="0"/>
          <w:sz w:val="31"/>
          <w:szCs w:val="31"/>
          <w:lang w:val="en-US" w:eastAsia="zh-CN" w:bidi="ar"/>
        </w:rPr>
        <w:t>4</w:t>
      </w:r>
      <w:r>
        <w:rPr>
          <w:rFonts w:hint="eastAsia" w:ascii="仿宋_GB2312" w:hAnsi="仿宋" w:eastAsia="仿宋_GB2312" w:cs="宋体"/>
          <w:kern w:val="2"/>
          <w:sz w:val="32"/>
          <w:szCs w:val="32"/>
          <w:lang w:val="en-US" w:eastAsia="zh-CN" w:bidi="ar-SA"/>
        </w:rPr>
        <w:t>.不符合上述情形的一般违法失信行政处罚信息，公示期满三个月的，可以向</w:t>
      </w:r>
      <w:r>
        <w:rPr>
          <w:rFonts w:hint="eastAsia" w:ascii="仿宋_GB2312" w:hAnsi="仿宋" w:eastAsia="仿宋_GB2312" w:cs="宋体"/>
          <w:color w:val="FF0000"/>
          <w:kern w:val="2"/>
          <w:sz w:val="32"/>
          <w:szCs w:val="32"/>
          <w:lang w:val="en-US" w:eastAsia="zh-CN" w:bidi="ar-SA"/>
        </w:rPr>
        <w:t>作出行政处罚决定的市场监督管理部门</w:t>
      </w:r>
      <w:r>
        <w:rPr>
          <w:rFonts w:hint="eastAsia" w:ascii="仿宋_GB2312" w:hAnsi="仿宋" w:eastAsia="仿宋_GB2312" w:cs="宋体"/>
          <w:kern w:val="2"/>
          <w:sz w:val="32"/>
          <w:szCs w:val="32"/>
          <w:lang w:val="en-US" w:eastAsia="zh-CN" w:bidi="ar-SA"/>
        </w:rPr>
        <w:t>申请信用修复；公示期满一年的，由市场监督管理部门停止公示。</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5.最短公示期届满后，当事人按照本办法规定向</w:t>
      </w:r>
      <w:r>
        <w:rPr>
          <w:rFonts w:hint="eastAsia" w:ascii="仿宋_GB2312" w:hAnsi="仿宋" w:eastAsia="仿宋_GB2312" w:cs="宋体"/>
          <w:color w:val="FF0000"/>
          <w:kern w:val="2"/>
          <w:sz w:val="32"/>
          <w:szCs w:val="32"/>
          <w:lang w:val="en-US" w:eastAsia="zh-CN" w:bidi="ar-SA"/>
        </w:rPr>
        <w:t>作出行政处罚决定的市场监督管理部门</w:t>
      </w:r>
      <w:r>
        <w:rPr>
          <w:rFonts w:hint="eastAsia" w:ascii="仿宋_GB2312" w:hAnsi="仿宋" w:eastAsia="仿宋_GB2312" w:cs="宋体"/>
          <w:kern w:val="2"/>
          <w:sz w:val="32"/>
          <w:szCs w:val="32"/>
          <w:lang w:val="en-US" w:eastAsia="zh-CN" w:bidi="ar-SA"/>
        </w:rPr>
        <w:t xml:space="preserve">申请信用修复的，应当符合下列条件：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（1）已经自觉履行行政处罚决定中规定的义务；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（2）已经主动采取相关整改措施，消除危害后果和不良影响；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（3）未因同一类违法行为再次受到市场监督管理部门行政处罚。 </w:t>
      </w:r>
    </w:p>
    <w:p>
      <w:pPr>
        <w:pStyle w:val="7"/>
        <w:shd w:val="clear" w:color="auto" w:fill="FFFFFF"/>
        <w:spacing w:before="0" w:beforeAutospacing="0" w:after="0" w:afterAutospacing="0" w:line="360" w:lineRule="auto"/>
        <w:ind w:firstLine="560" w:firstLineChars="200"/>
        <w:jc w:val="both"/>
        <w:rPr>
          <w:rFonts w:hint="eastAsia" w:ascii="黑体" w:hAnsi="黑体" w:eastAsia="黑体" w:cs="黑体"/>
          <w:b w:val="0"/>
          <w:bCs/>
          <w:color w:val="333333"/>
          <w:sz w:val="28"/>
          <w:szCs w:val="28"/>
        </w:rPr>
      </w:pPr>
      <w:r>
        <w:rPr>
          <w:rFonts w:hint="eastAsia" w:ascii="黑体" w:hAnsi="黑体" w:eastAsia="黑体" w:cs="黑体"/>
          <w:b w:val="0"/>
          <w:bCs/>
          <w:color w:val="333333"/>
          <w:sz w:val="28"/>
          <w:szCs w:val="28"/>
          <w:lang w:eastAsia="zh-CN"/>
        </w:rPr>
        <w:t>四</w:t>
      </w:r>
      <w:r>
        <w:rPr>
          <w:rFonts w:hint="eastAsia" w:ascii="黑体" w:hAnsi="黑体" w:eastAsia="黑体" w:cs="黑体"/>
          <w:b w:val="0"/>
          <w:bCs/>
          <w:color w:val="333333"/>
          <w:sz w:val="28"/>
          <w:szCs w:val="28"/>
        </w:rPr>
        <w:t>、修复途径</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（一）当事人可以到</w:t>
      </w:r>
      <w:r>
        <w:rPr>
          <w:rFonts w:hint="eastAsia" w:ascii="仿宋_GB2312" w:hAnsi="仿宋" w:eastAsia="仿宋_GB2312" w:cs="宋体"/>
          <w:color w:val="FF0000"/>
          <w:kern w:val="2"/>
          <w:sz w:val="32"/>
          <w:szCs w:val="32"/>
          <w:lang w:val="en-US" w:eastAsia="zh-CN" w:bidi="ar-SA"/>
        </w:rPr>
        <w:t>市场监督管理部门</w:t>
      </w:r>
      <w:r>
        <w:rPr>
          <w:rFonts w:hint="eastAsia" w:ascii="仿宋_GB2312" w:hAnsi="仿宋" w:eastAsia="仿宋_GB2312" w:cs="宋体"/>
          <w:kern w:val="2"/>
          <w:sz w:val="32"/>
          <w:szCs w:val="32"/>
          <w:lang w:val="en-US" w:eastAsia="zh-CN" w:bidi="ar-SA"/>
        </w:rPr>
        <w:t>现场申请，提交材料如下：</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1.信用修复申请书（由当事人填写后，按要求签字盖章）</w:t>
      </w:r>
      <w:r>
        <w:rPr>
          <w:rFonts w:hint="eastAsia" w:ascii="仿宋_GB2312" w:hAnsi="仿宋" w:eastAsia="仿宋_GB2312" w:cs="宋体"/>
          <w:kern w:val="2"/>
          <w:sz w:val="32"/>
          <w:szCs w:val="32"/>
          <w:lang w:val="en-US" w:eastAsia="zh-CN" w:bidi="ar-SA"/>
        </w:rPr>
        <w:t xml:space="preserve">；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2.守信承诺书（由当事人填写后，按要求</w:t>
      </w:r>
      <w:bookmarkStart w:id="0" w:name="_GoBack"/>
      <w:bookmarkEnd w:id="0"/>
      <w:r>
        <w:rPr>
          <w:rFonts w:hint="eastAsia" w:ascii="仿宋_GB2312" w:hAnsi="仿宋" w:eastAsia="仿宋_GB2312" w:cs="宋体"/>
          <w:kern w:val="2"/>
          <w:sz w:val="32"/>
          <w:szCs w:val="32"/>
          <w:lang w:val="en-US" w:eastAsia="zh-CN" w:bidi="ar-SA"/>
        </w:rPr>
        <w:t>签字盖章）</w:t>
      </w:r>
      <w:r>
        <w:rPr>
          <w:rFonts w:hint="eastAsia" w:ascii="仿宋_GB2312" w:hAnsi="仿宋" w:eastAsia="仿宋_GB2312" w:cs="宋体"/>
          <w:kern w:val="2"/>
          <w:sz w:val="32"/>
          <w:szCs w:val="32"/>
          <w:lang w:val="en-US" w:eastAsia="zh-CN" w:bidi="ar-SA"/>
        </w:rPr>
        <w:t xml:space="preserve">； </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3.履行法定义务、纠正违法行为、实施整改等相关材料（该材料为非必填项，可不提供。包括但不限于处罚决定书复印件、缴纳罚款收据复印件、整改报告书、修复培训记录等相关材料）。</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（二）当事人可以通过</w:t>
      </w:r>
      <w:r>
        <w:rPr>
          <w:rFonts w:hint="eastAsia" w:ascii="仿宋_GB2312" w:hAnsi="仿宋" w:eastAsia="仿宋_GB2312" w:cs="宋体"/>
          <w:color w:val="FF0000"/>
          <w:kern w:val="2"/>
          <w:sz w:val="32"/>
          <w:szCs w:val="32"/>
          <w:lang w:val="en-US" w:eastAsia="zh-CN" w:bidi="ar-SA"/>
        </w:rPr>
        <w:t>国家企业信用信息公示系统</w:t>
      </w:r>
      <w:r>
        <w:rPr>
          <w:rFonts w:hint="eastAsia" w:ascii="仿宋_GB2312" w:hAnsi="仿宋" w:eastAsia="仿宋_GB2312" w:cs="宋体"/>
          <w:kern w:val="2"/>
          <w:sz w:val="32"/>
          <w:szCs w:val="32"/>
          <w:lang w:val="en-US" w:eastAsia="zh-CN" w:bidi="ar-SA"/>
        </w:rPr>
        <w:t>进行网上申请：</w:t>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1.通过电脑浏览器打开国家企业信用信息公示系统首页（网址：</w:t>
      </w:r>
      <w:r>
        <w:rPr>
          <w:rFonts w:hint="eastAsia" w:ascii="仿宋_GB2312" w:hAnsi="仿宋" w:eastAsia="仿宋_GB2312" w:cs="宋体"/>
          <w:kern w:val="2"/>
          <w:sz w:val="32"/>
          <w:szCs w:val="32"/>
          <w:lang w:val="en-US" w:eastAsia="zh-CN" w:bidi="ar-SA"/>
        </w:rPr>
        <w:fldChar w:fldCharType="begin"/>
      </w:r>
      <w:r>
        <w:rPr>
          <w:rFonts w:hint="eastAsia" w:ascii="仿宋_GB2312" w:hAnsi="仿宋" w:eastAsia="仿宋_GB2312" w:cs="宋体"/>
          <w:kern w:val="2"/>
          <w:sz w:val="32"/>
          <w:szCs w:val="32"/>
          <w:lang w:val="en-US" w:eastAsia="zh-CN" w:bidi="ar-SA"/>
        </w:rPr>
        <w:instrText xml:space="preserve"> HYPERLINK "http://www.gsxt.gov.cn/index.html" </w:instrText>
      </w:r>
      <w:r>
        <w:rPr>
          <w:rFonts w:hint="eastAsia" w:ascii="仿宋_GB2312" w:hAnsi="仿宋" w:eastAsia="仿宋_GB2312" w:cs="宋体"/>
          <w:kern w:val="2"/>
          <w:sz w:val="32"/>
          <w:szCs w:val="32"/>
          <w:lang w:val="en-US" w:eastAsia="zh-CN" w:bidi="ar-SA"/>
        </w:rPr>
        <w:fldChar w:fldCharType="separate"/>
      </w:r>
      <w:r>
        <w:rPr>
          <w:rFonts w:hint="eastAsia" w:ascii="仿宋_GB2312" w:hAnsi="仿宋" w:eastAsia="仿宋_GB2312" w:cs="宋体"/>
          <w:kern w:val="2"/>
          <w:sz w:val="32"/>
          <w:szCs w:val="32"/>
          <w:lang w:val="en-US" w:eastAsia="zh-CN" w:bidi="ar-SA"/>
        </w:rPr>
        <w:t>www.gsxt.gov.cn</w:t>
      </w:r>
      <w:r>
        <w:rPr>
          <w:rFonts w:hint="eastAsia" w:ascii="仿宋_GB2312" w:hAnsi="仿宋" w:eastAsia="仿宋_GB2312" w:cs="宋体"/>
          <w:kern w:val="2"/>
          <w:sz w:val="32"/>
          <w:szCs w:val="32"/>
          <w:lang w:val="en-US" w:eastAsia="zh-CN" w:bidi="ar-SA"/>
        </w:rPr>
        <w:fldChar w:fldCharType="end"/>
      </w:r>
      <w:r>
        <w:rPr>
          <w:rFonts w:hint="eastAsia" w:ascii="仿宋_GB2312" w:hAnsi="仿宋" w:eastAsia="仿宋_GB2312" w:cs="宋体"/>
          <w:kern w:val="2"/>
          <w:sz w:val="32"/>
          <w:szCs w:val="32"/>
          <w:lang w:val="en-US" w:eastAsia="zh-CN" w:bidi="ar-SA"/>
        </w:rPr>
        <w:t>），点击“信用修复”页面。如下图示：</w:t>
      </w:r>
    </w:p>
    <w:p>
      <w:pPr>
        <w:keepNext w:val="0"/>
        <w:keepLines w:val="0"/>
        <w:widowControl/>
        <w:suppressLineNumbers w:val="0"/>
        <w:jc w:val="both"/>
      </w:pPr>
      <w:r>
        <w:drawing>
          <wp:inline distT="0" distB="0" distL="114300" distR="114300">
            <wp:extent cx="5790565" cy="3841115"/>
            <wp:effectExtent l="0" t="0" r="63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790565" cy="3841115"/>
                    </a:xfrm>
                    <a:prstGeom prst="rect">
                      <a:avLst/>
                    </a:prstGeom>
                    <a:noFill/>
                    <a:ln>
                      <a:noFill/>
                    </a:ln>
                  </pic:spPr>
                </pic:pic>
              </a:graphicData>
            </a:graphic>
          </wp:inline>
        </w:drawing>
      </w:r>
    </w:p>
    <w:p>
      <w:pPr>
        <w:keepNext w:val="0"/>
        <w:keepLines w:val="0"/>
        <w:widowControl/>
        <w:suppressLineNumbers w:val="0"/>
        <w:ind w:firstLine="640" w:firstLineChars="20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2.扫描二维码进行电子营业执照登录</w:t>
      </w:r>
    </w:p>
    <w:p>
      <w:pPr>
        <w:pStyle w:val="7"/>
        <w:shd w:val="clear" w:color="auto" w:fill="FFFFFF"/>
        <w:jc w:val="both"/>
      </w:pPr>
      <w:r>
        <w:drawing>
          <wp:inline distT="0" distB="0" distL="114300" distR="114300">
            <wp:extent cx="5764530" cy="3183890"/>
            <wp:effectExtent l="0" t="0" r="762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764530" cy="3183890"/>
                    </a:xfrm>
                    <a:prstGeom prst="rect">
                      <a:avLst/>
                    </a:prstGeom>
                    <a:noFill/>
                    <a:ln>
                      <a:noFill/>
                    </a:ln>
                  </pic:spPr>
                </pic:pic>
              </a:graphicData>
            </a:graphic>
          </wp:inline>
        </w:drawing>
      </w:r>
    </w:p>
    <w:p>
      <w:pPr>
        <w:pStyle w:val="7"/>
        <w:shd w:val="clear" w:color="auto" w:fill="FFFFFF"/>
        <w:ind w:firstLine="480"/>
        <w:jc w:val="both"/>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 xml:space="preserve"> 3.</w:t>
      </w:r>
      <w:r>
        <w:rPr>
          <w:rFonts w:hint="eastAsia" w:ascii="仿宋_GB2312" w:hAnsi="仿宋" w:eastAsia="仿宋_GB2312" w:cs="宋体"/>
          <w:kern w:val="2"/>
          <w:sz w:val="32"/>
          <w:szCs w:val="32"/>
          <w:lang w:val="en-US" w:eastAsia="zh-CN" w:bidi="ar-SA"/>
        </w:rPr>
        <w:t>登录后查看可修复的违法失信信息，包括行政处罚信息经营异常名录信息、严重违法失信名单信息，如下图示：</w:t>
      </w:r>
    </w:p>
    <w:p>
      <w:pPr>
        <w:pStyle w:val="2"/>
        <w:ind w:left="0" w:leftChars="0" w:firstLine="0" w:firstLineChars="0"/>
        <w:rPr>
          <w:rFonts w:hint="eastAsia"/>
          <w:lang w:val="en-US" w:eastAsia="zh-CN"/>
        </w:rPr>
      </w:pPr>
      <w:r>
        <w:drawing>
          <wp:inline distT="0" distB="0" distL="114300" distR="114300">
            <wp:extent cx="5608955" cy="3257550"/>
            <wp:effectExtent l="0" t="0" r="1079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608955" cy="3257550"/>
                    </a:xfrm>
                    <a:prstGeom prst="rect">
                      <a:avLst/>
                    </a:prstGeom>
                    <a:noFill/>
                    <a:ln>
                      <a:noFill/>
                    </a:ln>
                  </pic:spPr>
                </pic:pic>
              </a:graphicData>
            </a:graphic>
          </wp:inline>
        </w:drawing>
      </w:r>
    </w:p>
    <w:p>
      <w:pPr>
        <w:numPr>
          <w:ilvl w:val="0"/>
          <w:numId w:val="1"/>
        </w:numPr>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点击“去修复”，即可到该违法失信信息决定机关所在省份的信用修复系统，开展信用修复，如“去修复”推荐的决定机关所在省份不正确，也可更改修复单位，如下图示：</w:t>
      </w:r>
    </w:p>
    <w:p>
      <w:pPr>
        <w:numPr>
          <w:numId w:val="0"/>
        </w:numPr>
        <w:rPr>
          <w:rFonts w:hint="eastAsia" w:ascii="仿宋_GB2312" w:hAnsi="仿宋" w:eastAsia="仿宋_GB2312" w:cs="宋体"/>
          <w:kern w:val="2"/>
          <w:sz w:val="32"/>
          <w:szCs w:val="32"/>
          <w:lang w:val="en-US" w:eastAsia="zh-CN" w:bidi="ar-SA"/>
        </w:rPr>
      </w:pPr>
      <w:r>
        <w:rPr>
          <w:rFonts w:hint="eastAsia"/>
          <w:lang w:val="en-US" w:eastAsia="zh-CN"/>
        </w:rPr>
        <w:t xml:space="preserve">  </w:t>
      </w:r>
      <w:r>
        <w:drawing>
          <wp:inline distT="0" distB="0" distL="114300" distR="114300">
            <wp:extent cx="5434965" cy="2648585"/>
            <wp:effectExtent l="0" t="0" r="1333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434965" cy="2648585"/>
                    </a:xfrm>
                    <a:prstGeom prst="rect">
                      <a:avLst/>
                    </a:prstGeom>
                    <a:noFill/>
                    <a:ln>
                      <a:noFill/>
                    </a:ln>
                  </pic:spPr>
                </pic:pic>
              </a:graphicData>
            </a:graphic>
          </wp:inline>
        </w:drawing>
      </w:r>
    </w:p>
    <w:p>
      <w:pPr>
        <w:pStyle w:val="2"/>
        <w:numPr>
          <w:ilvl w:val="0"/>
          <w:numId w:val="0"/>
        </w:numPr>
        <w:rPr>
          <w:rFonts w:hint="eastAsia"/>
          <w:lang w:val="en-US" w:eastAsia="zh-CN"/>
        </w:rPr>
      </w:pPr>
    </w:p>
    <w:p>
      <w:pPr>
        <w:pStyle w:val="7"/>
        <w:shd w:val="clear" w:color="auto" w:fill="FFFFFF"/>
        <w:jc w:val="both"/>
      </w:pPr>
    </w:p>
    <w:p>
      <w:pPr>
        <w:pStyle w:val="7"/>
        <w:shd w:val="clear" w:color="auto" w:fill="FFFFFF"/>
        <w:jc w:val="both"/>
        <w:rPr>
          <w:rFonts w:ascii="微软雅黑" w:hAnsi="微软雅黑" w:eastAsia="微软雅黑"/>
          <w:color w:val="333333"/>
          <w:sz w:val="21"/>
          <w:szCs w:val="21"/>
        </w:rPr>
      </w:pPr>
      <w:r>
        <w:drawing>
          <wp:inline distT="0" distB="0" distL="114300" distR="114300">
            <wp:extent cx="5648325" cy="2772410"/>
            <wp:effectExtent l="0" t="0" r="9525"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5648325" cy="2772410"/>
                    </a:xfrm>
                    <a:prstGeom prst="rect">
                      <a:avLst/>
                    </a:prstGeom>
                    <a:noFill/>
                    <a:ln>
                      <a:noFill/>
                    </a:ln>
                  </pic:spPr>
                </pic:pic>
              </a:graphicData>
            </a:graphic>
          </wp:inline>
        </w:drawing>
      </w:r>
    </w:p>
    <w:p>
      <w:pPr>
        <w:numPr>
          <w:ilvl w:val="0"/>
          <w:numId w:val="0"/>
        </w:numPr>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（4）点击“确定”到省级信用修复系统，提交信用修复申请，开展信用修复审核流程，按照“谁列入谁修复”、“谁处罚谁修复”原则，支持本省或异地经营主体的信用修复。</w:t>
      </w:r>
    </w:p>
    <w:p>
      <w:pPr>
        <w:pStyle w:val="2"/>
        <w:ind w:left="0" w:leftChars="0" w:firstLine="0" w:firstLineChars="0"/>
        <w:rPr>
          <w:rFonts w:hint="eastAsia"/>
          <w:lang w:val="en-US" w:eastAsia="zh-CN"/>
        </w:rPr>
      </w:pPr>
      <w:r>
        <w:drawing>
          <wp:inline distT="0" distB="0" distL="114300" distR="114300">
            <wp:extent cx="5649595" cy="2954020"/>
            <wp:effectExtent l="0" t="0" r="8255" b="177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649595" cy="2954020"/>
                    </a:xfrm>
                    <a:prstGeom prst="rect">
                      <a:avLst/>
                    </a:prstGeom>
                    <a:noFill/>
                    <a:ln>
                      <a:noFill/>
                    </a:ln>
                  </pic:spPr>
                </pic:pic>
              </a:graphicData>
            </a:graphic>
          </wp:inline>
        </w:drawing>
      </w:r>
    </w:p>
    <w:p>
      <w:pPr>
        <w:ind w:firstLine="640" w:firstLineChars="200"/>
        <w:rPr>
          <w:rFonts w:ascii="仿宋_GB2312" w:hAnsi="仿宋_GB2312" w:cs="仿宋_GB2312"/>
          <w:color w:val="000000"/>
          <w:szCs w:val="32"/>
        </w:rPr>
      </w:pPr>
      <w:r>
        <w:rPr>
          <w:rFonts w:hint="eastAsia" w:ascii="仿宋_GB2312" w:hAnsi="仿宋" w:eastAsia="仿宋_GB2312" w:cs="宋体"/>
          <w:kern w:val="2"/>
          <w:sz w:val="32"/>
          <w:szCs w:val="32"/>
          <w:lang w:val="en-US" w:eastAsia="zh-CN" w:bidi="ar-SA"/>
        </w:rPr>
        <w:t>（5）信用修复完成后，信用修复结果数据会同步推送到国家企业信用信息公示系统进行更新（具体推送更新时间以实际为准）。</w:t>
      </w:r>
    </w:p>
    <w:p>
      <w:pPr>
        <w:numPr>
          <w:ilvl w:val="0"/>
          <w:numId w:val="0"/>
        </w:numPr>
        <w:ind w:firstLine="640" w:firstLineChars="200"/>
        <w:rPr>
          <w:rFonts w:hint="eastAsia" w:ascii="仿宋_GB2312" w:hAnsi="仿宋" w:eastAsia="仿宋_GB2312" w:cs="宋体"/>
          <w:kern w:val="2"/>
          <w:sz w:val="32"/>
          <w:szCs w:val="32"/>
          <w:lang w:val="en-US" w:eastAsia="zh-CN" w:bidi="ar-SA"/>
        </w:rPr>
      </w:pPr>
    </w:p>
    <w:p>
      <w:pPr>
        <w:pStyle w:val="7"/>
        <w:shd w:val="clear" w:color="auto" w:fill="FFFFFF"/>
        <w:spacing w:before="0" w:beforeAutospacing="0" w:after="0" w:afterAutospacing="0" w:line="360" w:lineRule="auto"/>
        <w:ind w:firstLine="640" w:firstLineChars="200"/>
        <w:rPr>
          <w:rFonts w:hint="eastAsia" w:ascii="黑体" w:hAnsi="黑体" w:eastAsia="黑体" w:cs="黑体"/>
          <w:b w:val="0"/>
          <w:bCs/>
          <w:color w:val="333333"/>
          <w:sz w:val="32"/>
          <w:szCs w:val="32"/>
        </w:rPr>
      </w:pPr>
      <w:r>
        <w:rPr>
          <w:rFonts w:hint="eastAsia" w:ascii="黑体" w:hAnsi="黑体" w:eastAsia="黑体" w:cs="黑体"/>
          <w:b w:val="0"/>
          <w:bCs/>
          <w:color w:val="333333"/>
          <w:sz w:val="32"/>
          <w:szCs w:val="32"/>
          <w:lang w:eastAsia="zh-CN"/>
        </w:rPr>
        <w:t>五</w:t>
      </w:r>
      <w:r>
        <w:rPr>
          <w:rFonts w:hint="eastAsia" w:ascii="黑体" w:hAnsi="黑体" w:eastAsia="黑体" w:cs="黑体"/>
          <w:b w:val="0"/>
          <w:bCs/>
          <w:color w:val="333333"/>
          <w:sz w:val="32"/>
          <w:szCs w:val="32"/>
        </w:rPr>
        <w:t>、咨询电话</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常州市市场监管局：88588098</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溧阳市市场监管局：80998950     </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金坛区市场监管局：82299031</w:t>
      </w:r>
    </w:p>
    <w:p>
      <w:pPr>
        <w:pStyle w:val="7"/>
        <w:shd w:val="clear" w:color="auto" w:fill="FFFFFF"/>
        <w:spacing w:before="0" w:beforeAutospacing="0" w:after="0" w:afterAutospacing="0" w:line="360" w:lineRule="auto"/>
        <w:ind w:firstLine="640" w:firstLineChars="200"/>
        <w:rPr>
          <w:rFonts w:hint="default"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武进区市场监管局：86318091</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新北区市场监管局：85106690</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天宁区市场监管局：88891519</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钟楼区市场监管局：88891780</w:t>
      </w:r>
    </w:p>
    <w:p>
      <w:pPr>
        <w:pStyle w:val="7"/>
        <w:shd w:val="clear" w:color="auto" w:fill="FFFFFF"/>
        <w:spacing w:before="0" w:beforeAutospacing="0" w:after="0" w:afterAutospacing="0" w:line="360" w:lineRule="auto"/>
        <w:ind w:firstLine="640" w:firstLineChars="200"/>
        <w:rPr>
          <w:rFonts w:hint="eastAsia" w:ascii="仿宋_GB2312" w:hAnsi="仿宋" w:eastAsia="仿宋_GB2312" w:cs="宋体"/>
          <w:kern w:val="2"/>
          <w:sz w:val="32"/>
          <w:szCs w:val="32"/>
          <w:lang w:val="en-US" w:eastAsia="zh-CN" w:bidi="ar-SA"/>
        </w:rPr>
      </w:pPr>
      <w:r>
        <w:rPr>
          <w:rFonts w:hint="eastAsia" w:ascii="仿宋_GB2312" w:hAnsi="仿宋" w:eastAsia="仿宋_GB2312" w:cs="宋体"/>
          <w:kern w:val="2"/>
          <w:sz w:val="32"/>
          <w:szCs w:val="32"/>
          <w:lang w:val="en-US" w:eastAsia="zh-CN" w:bidi="ar-SA"/>
        </w:rPr>
        <w:t>常州经开区市场监管局：89863668</w:t>
      </w:r>
    </w:p>
    <w:p>
      <w:pPr>
        <w:rPr>
          <w:rFonts w:hint="eastAsia" w:ascii="仿宋_GB2312" w:hAnsi="仿宋" w:eastAsia="仿宋_GB2312" w:cs="宋体"/>
          <w:kern w:val="2"/>
          <w:sz w:val="32"/>
          <w:szCs w:val="32"/>
          <w:lang w:val="en-US" w:eastAsia="zh-CN" w:bidi="ar-SA"/>
        </w:rPr>
      </w:pPr>
    </w:p>
    <w:p>
      <w:pPr>
        <w:pStyle w:val="2"/>
        <w:rPr>
          <w:rFonts w:hint="eastAsia" w:ascii="仿宋_GB2312" w:hAnsi="仿宋" w:eastAsia="仿宋_GB2312" w:cs="宋体"/>
          <w:kern w:val="2"/>
          <w:sz w:val="32"/>
          <w:szCs w:val="32"/>
          <w:lang w:val="en-US" w:eastAsia="zh-CN" w:bidi="ar-SA"/>
        </w:rPr>
      </w:pPr>
    </w:p>
    <w:p>
      <w:pPr>
        <w:rPr>
          <w:rFonts w:hint="default" w:ascii="仿宋_GB2312" w:hAnsi="仿宋" w:eastAsia="仿宋_GB2312" w:cs="宋体"/>
          <w:kern w:val="2"/>
          <w:sz w:val="32"/>
          <w:szCs w:val="32"/>
          <w:lang w:val="en-US" w:eastAsia="zh-CN" w:bidi="ar-SA"/>
        </w:rPr>
      </w:pPr>
    </w:p>
    <w:p>
      <w:pPr>
        <w:pStyle w:val="2"/>
        <w:rPr>
          <w:rFonts w:hint="default"/>
          <w:lang w:val="en-US" w:eastAsia="zh-CN"/>
        </w:rPr>
      </w:pPr>
    </w:p>
    <w:p>
      <w:pPr>
        <w:pStyle w:val="2"/>
        <w:rPr>
          <w:rFonts w:hint="eastAsia" w:ascii="仿宋_GB2312" w:hAnsi="仿宋" w:eastAsia="仿宋_GB2312" w:cs="宋体"/>
          <w:kern w:val="2"/>
          <w:sz w:val="32"/>
          <w:szCs w:val="32"/>
          <w:lang w:val="en-US" w:eastAsia="zh-CN" w:bidi="ar-SA"/>
        </w:rPr>
      </w:pPr>
    </w:p>
    <w:p>
      <w:pPr>
        <w:rPr>
          <w:rFonts w:hint="eastAsia" w:eastAsia="仿宋_GB2312"/>
          <w:lang w:val="en-US" w:eastAsia="zh-CN"/>
        </w:rPr>
      </w:pPr>
      <w:r>
        <w:rPr>
          <w:rFonts w:hint="eastAsia" w:ascii="仿宋_GB2312" w:hAnsi="仿宋" w:eastAsia="仿宋_GB2312" w:cs="宋体"/>
          <w:kern w:val="2"/>
          <w:sz w:val="32"/>
          <w:szCs w:val="32"/>
          <w:lang w:val="en-US" w:eastAsia="zh-CN" w:bidi="ar-SA"/>
        </w:rPr>
        <w:t xml:space="preserve">                              常州市市场监督管理局</w:t>
      </w:r>
    </w:p>
    <w:sectPr>
      <w:pgSz w:w="11906" w:h="16838"/>
      <w:pgMar w:top="1440" w:right="1474"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66908A"/>
    <w:multiLevelType w:val="singleLevel"/>
    <w:tmpl w:val="5966908A"/>
    <w:lvl w:ilvl="0" w:tentative="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UyNWZjODdjMTVjYjFhMmFmMmE3MDI0ZDYxMWZlN2EifQ=="/>
  </w:docVars>
  <w:rsids>
    <w:rsidRoot w:val="00D63948"/>
    <w:rsid w:val="00082630"/>
    <w:rsid w:val="00294CCC"/>
    <w:rsid w:val="002D363D"/>
    <w:rsid w:val="003A371A"/>
    <w:rsid w:val="006834D9"/>
    <w:rsid w:val="006D66A6"/>
    <w:rsid w:val="00746A0A"/>
    <w:rsid w:val="0076039B"/>
    <w:rsid w:val="00AD224E"/>
    <w:rsid w:val="00C33E5A"/>
    <w:rsid w:val="00CD2DFC"/>
    <w:rsid w:val="00D5446F"/>
    <w:rsid w:val="00D63948"/>
    <w:rsid w:val="00E33ACD"/>
    <w:rsid w:val="00EF2A14"/>
    <w:rsid w:val="00F47ACD"/>
    <w:rsid w:val="669E6DAC"/>
    <w:rsid w:val="67DE539D"/>
    <w:rsid w:val="738A69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qFormat/>
    <w:uiPriority w:val="9"/>
    <w:pPr>
      <w:keepNext/>
      <w:keepLines/>
      <w:ind w:firstLine="200" w:firstLineChars="200"/>
      <w:outlineLvl w:val="1"/>
    </w:pPr>
    <w:rPr>
      <w:rFonts w:ascii="Cambria" w:hAnsi="Cambria" w:eastAsia="黑体" w:cs="Times New Roman"/>
      <w:b/>
      <w:bCs/>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link w:val="15"/>
    <w:semiHidden/>
    <w:unhideWhenUsed/>
    <w:qFormat/>
    <w:uiPriority w:val="99"/>
    <w:pPr>
      <w:spacing w:after="120"/>
      <w:ind w:left="420" w:leftChars="200"/>
    </w:pPr>
  </w:style>
  <w:style w:type="paragraph" w:styleId="4">
    <w:name w:val="Balloon Text"/>
    <w:basedOn w:val="1"/>
    <w:link w:val="12"/>
    <w:semiHidden/>
    <w:unhideWhenUsed/>
    <w:qFormat/>
    <w:uiPriority w:val="99"/>
    <w:rPr>
      <w:sz w:val="18"/>
      <w:szCs w:val="18"/>
    </w:rPr>
  </w:style>
  <w:style w:type="paragraph" w:styleId="5">
    <w:name w:val="footer"/>
    <w:basedOn w:val="1"/>
    <w:link w:val="14"/>
    <w:semiHidden/>
    <w:unhideWhenUsed/>
    <w:qFormat/>
    <w:uiPriority w:val="99"/>
    <w:pPr>
      <w:tabs>
        <w:tab w:val="center" w:pos="4153"/>
        <w:tab w:val="right" w:pos="8306"/>
      </w:tabs>
      <w:snapToGrid w:val="0"/>
      <w:jc w:val="left"/>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Body Text First Indent 2"/>
    <w:basedOn w:val="3"/>
    <w:next w:val="1"/>
    <w:link w:val="16"/>
    <w:qFormat/>
    <w:uiPriority w:val="0"/>
    <w:pPr>
      <w:spacing w:after="0" w:line="500" w:lineRule="exact"/>
      <w:ind w:left="0" w:leftChars="0" w:firstLine="420" w:firstLineChars="200"/>
    </w:pPr>
    <w:rPr>
      <w:rFonts w:ascii="Calibri" w:hAnsi="Calibri" w:eastAsia="宋体" w:cs="Times New Roman"/>
      <w:szCs w:val="24"/>
    </w:rPr>
  </w:style>
  <w:style w:type="character" w:styleId="11">
    <w:name w:val="Hyperlink"/>
    <w:qFormat/>
    <w:uiPriority w:val="0"/>
    <w:rPr>
      <w:color w:val="0000FF"/>
      <w:u w:val="single"/>
    </w:rPr>
  </w:style>
  <w:style w:type="character" w:customStyle="1" w:styleId="12">
    <w:name w:val="批注框文本 Char"/>
    <w:basedOn w:val="10"/>
    <w:link w:val="4"/>
    <w:semiHidden/>
    <w:uiPriority w:val="99"/>
    <w:rPr>
      <w:sz w:val="18"/>
      <w:szCs w:val="18"/>
    </w:rPr>
  </w:style>
  <w:style w:type="character" w:customStyle="1" w:styleId="13">
    <w:name w:val="页眉 Char"/>
    <w:basedOn w:val="10"/>
    <w:link w:val="6"/>
    <w:semiHidden/>
    <w:qFormat/>
    <w:uiPriority w:val="99"/>
    <w:rPr>
      <w:sz w:val="18"/>
      <w:szCs w:val="18"/>
    </w:rPr>
  </w:style>
  <w:style w:type="character" w:customStyle="1" w:styleId="14">
    <w:name w:val="页脚 Char"/>
    <w:basedOn w:val="10"/>
    <w:link w:val="5"/>
    <w:semiHidden/>
    <w:qFormat/>
    <w:uiPriority w:val="99"/>
    <w:rPr>
      <w:sz w:val="18"/>
      <w:szCs w:val="18"/>
    </w:rPr>
  </w:style>
  <w:style w:type="character" w:customStyle="1" w:styleId="15">
    <w:name w:val="正文文本缩进 Char"/>
    <w:basedOn w:val="10"/>
    <w:link w:val="3"/>
    <w:semiHidden/>
    <w:qFormat/>
    <w:uiPriority w:val="99"/>
  </w:style>
  <w:style w:type="character" w:customStyle="1" w:styleId="16">
    <w:name w:val="正文首行缩进 2 Char"/>
    <w:basedOn w:val="15"/>
    <w:link w:val="8"/>
    <w:qFormat/>
    <w:uiPriority w:val="0"/>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2011</Words>
  <Characters>2102</Characters>
  <Lines>14</Lines>
  <Paragraphs>4</Paragraphs>
  <TotalTime>893</TotalTime>
  <ScaleCrop>false</ScaleCrop>
  <LinksUpToDate>false</LinksUpToDate>
  <CharactersWithSpaces>2156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2025-12-11T02:06:00Z</dcterms:created>
  <dc:creator>Windows 用户</dc:creator>
  <cp:lastModifiedBy>班班</cp:lastModifiedBy>
  <dcterms:modified xsi:type="dcterms:W3CDTF">2025-12-24T02:57:36Z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87E6C610B5E040A0B8C06AB91F4C1D83</vt:lpwstr>
  </property>
</Properties>
</file>